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4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20"/>
        <w:gridCol w:w="420"/>
        <w:gridCol w:w="1575"/>
        <w:gridCol w:w="2310"/>
        <w:tblGridChange w:id="0">
          <w:tblGrid>
            <w:gridCol w:w="2070"/>
            <w:gridCol w:w="5490"/>
            <w:gridCol w:w="1320"/>
            <w:gridCol w:w="42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05/09/2016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05/13/2016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MSBCS-BCSIII-10:  Students will explore the basics of Marketing MSBCS-BCSIII-13: </w:t>
            </w:r>
            <w:r w:rsidDel="00000000" w:rsidR="00000000" w:rsidRPr="00000000">
              <w:rPr>
                <w:rtl w:val="0"/>
              </w:rPr>
              <w:t xml:space="preserve">The student will demonstrate an understanding of personal finance.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 Finance Pie Chart:  Students will read a document explaining the rules of thumb of personal finance.  The Students will create a Spreadsheet and Pie Chart illustrating the percentage breakdown of expenses for a typical household.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build a website on Weebly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Google Docs, Weebly, Voki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Personal Finance and Weebly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</w:pPr>
    <w:r w:rsidDel="00000000" w:rsidR="00000000" w:rsidRPr="00000000">
      <w:rPr>
        <w:i w:val="1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rPr>
        <w:b w:val="1"/>
        <w:sz w:val="52"/>
        <w:szCs w:val="52"/>
        <w:rtl w:val="0"/>
      </w:rPr>
      <w:t xml:space="preserve">Lesson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