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0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4"/>
        <w:gridCol w:w="5484"/>
        <w:gridCol w:w="1382"/>
        <w:gridCol w:w="91"/>
        <w:gridCol w:w="1574"/>
        <w:gridCol w:w="2305"/>
        <w:tblGridChange w:id="0">
          <w:tblGrid>
            <w:gridCol w:w="2024"/>
            <w:gridCol w:w="5484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02/08/2016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02/12/2016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7th Computer Science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MSBCS II - 1 Students will reinforce keyboarding techniques, MSBCS II - 4 Students will utilize Word processing software. MSBCS II - 5 Students will utilize Spreadsheet Software. 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I can create a document in Google Docs.  I understand the necessity of financial planning.  I can evaluate monthly expenditures and decide where money can be saved.  I understand the importance of knowing the difference in wants and needs.  I know the definitions of the following personal finance definitions: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97979"/>
                <w:sz w:val="24"/>
                <w:szCs w:val="24"/>
                <w:highlight w:val="white"/>
                <w:rtl w:val="0"/>
              </w:rPr>
              <w:t xml:space="preserve">Budget, Monthly Budget, Gross Income, Net Income, Fixed Costs or Expenses, Semi Variable Costs, Variable Costs, Discretionary Income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 will go over the Flocabulary Activity and recommend ways the individual could meet his budget.   Class discussion covering the definitions on Personal Finance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read the Percent Guidelines for Household Finances and the Car Purchasing Guidelines.  They will create a Spreadsheet breaking down the percentages and create a pie chart from their table.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use the Household Budget Master Spreadsheet to Analyze a typical two income family’s monthly budget.  They will identify areas where the family can cut their budget.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Keyboarding Project 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Drive, Google Classroom, Google Docs. Google Sheets,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www.dragonjuju.com</w:t>
              </w:r>
            </w:hyperlink>
            <w:r w:rsidDel="00000000" w:rsidR="00000000" w:rsidRPr="00000000">
              <w:rPr>
                <w:color w:val="808080"/>
                <w:rtl w:val="0"/>
              </w:rPr>
              <w:t xml:space="preserve">, Flocabulary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 Discussion and Activity Review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Spreadsheet/PieChart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Wednesday:SpreadSheet Analysis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 Keyboarding Project 3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Make up Day</w:t>
      </w:r>
    </w:p>
    <w:sectPr>
      <w:headerReference r:id="rId6" w:type="default"/>
      <w:footerReference r:id="rId7" w:type="default"/>
      <w:pgSz w:h="12240" w:w="158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dragonjuju.com" TargetMode="External"/><Relationship Id="rId6" Type="http://schemas.openxmlformats.org/officeDocument/2006/relationships/header" Target="header.xml"/><Relationship Id="rId7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